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BAA8" w14:textId="77777777" w:rsidR="00312026" w:rsidRDefault="00312026" w:rsidP="00312026">
      <w:pPr>
        <w:pStyle w:val="F2-zkladn"/>
        <w:spacing w:line="276" w:lineRule="auto"/>
        <w:rPr>
          <w:b/>
          <w:sz w:val="28"/>
          <w:szCs w:val="28"/>
        </w:rPr>
      </w:pPr>
      <w:r>
        <w:rPr>
          <w:b/>
          <w:sz w:val="28"/>
          <w:szCs w:val="28"/>
        </w:rPr>
        <w:t>TISKOVÁ ZPRÁVA</w:t>
      </w:r>
    </w:p>
    <w:p w14:paraId="26F28B9C" w14:textId="4341FD3D" w:rsidR="00312026" w:rsidRPr="00CA5BF5" w:rsidRDefault="00312026" w:rsidP="00312026">
      <w:pPr>
        <w:pStyle w:val="F2-zkladn"/>
        <w:spacing w:line="276" w:lineRule="auto"/>
        <w:jc w:val="right"/>
        <w:rPr>
          <w:b/>
          <w:sz w:val="28"/>
          <w:szCs w:val="28"/>
        </w:rPr>
      </w:pPr>
      <w:r w:rsidRPr="00455A3C">
        <w:tab/>
      </w:r>
      <w:r w:rsidRPr="00893890">
        <w:t>Praha,</w:t>
      </w:r>
      <w:r>
        <w:t xml:space="preserve"> </w:t>
      </w:r>
      <w:r w:rsidR="004A6534">
        <w:t>21</w:t>
      </w:r>
      <w:r w:rsidRPr="00893890">
        <w:t>.</w:t>
      </w:r>
      <w:r>
        <w:t xml:space="preserve"> </w:t>
      </w:r>
      <w:r w:rsidR="004A6534">
        <w:t>května</w:t>
      </w:r>
      <w:r>
        <w:t xml:space="preserve"> </w:t>
      </w:r>
      <w:r w:rsidRPr="00893890">
        <w:t>202</w:t>
      </w:r>
      <w:r>
        <w:t>6</w:t>
      </w:r>
    </w:p>
    <w:p w14:paraId="0D0C958B" w14:textId="77777777" w:rsidR="00312026" w:rsidRDefault="00312026" w:rsidP="002127C7">
      <w:pPr>
        <w:rPr>
          <w:b/>
          <w:bCs/>
          <w:kern w:val="28"/>
          <w:sz w:val="28"/>
          <w:szCs w:val="28"/>
        </w:rPr>
      </w:pPr>
    </w:p>
    <w:p w14:paraId="1239F7CE" w14:textId="77777777" w:rsidR="004A6534" w:rsidRDefault="004A6534" w:rsidP="001E6F65">
      <w:pPr>
        <w:rPr>
          <w:b/>
          <w:bCs/>
          <w:i/>
          <w:iCs/>
          <w:sz w:val="28"/>
          <w:szCs w:val="28"/>
        </w:rPr>
      </w:pPr>
      <w:r w:rsidRPr="004A6534">
        <w:rPr>
          <w:b/>
          <w:bCs/>
          <w:sz w:val="28"/>
          <w:szCs w:val="28"/>
        </w:rPr>
        <w:t>Jak proplout tržními extrémy díky disciplinovanému hodnotovému investování</w:t>
      </w:r>
      <w:r w:rsidRPr="004A6534">
        <w:rPr>
          <w:b/>
          <w:bCs/>
          <w:i/>
          <w:iCs/>
          <w:sz w:val="28"/>
          <w:szCs w:val="28"/>
        </w:rPr>
        <w:t xml:space="preserve"> </w:t>
      </w:r>
    </w:p>
    <w:p w14:paraId="708105E3" w14:textId="77777777" w:rsidR="004A6534" w:rsidRPr="004A6534" w:rsidRDefault="004A6534" w:rsidP="004A6534">
      <w:r w:rsidRPr="004A6534">
        <w:t xml:space="preserve">Asijské trhy táhne úzká skupina lídrů a vysoká očekávání, přestože zároveň narůstají základní rizika, například vyšší náklady na energie. </w:t>
      </w:r>
      <w:proofErr w:type="spellStart"/>
      <w:r w:rsidRPr="004A6534">
        <w:t>Nitin</w:t>
      </w:r>
      <w:proofErr w:type="spellEnd"/>
      <w:r w:rsidRPr="004A6534">
        <w:t xml:space="preserve"> </w:t>
      </w:r>
      <w:proofErr w:type="spellStart"/>
      <w:r w:rsidRPr="004A6534">
        <w:t>Bajaj</w:t>
      </w:r>
      <w:proofErr w:type="spellEnd"/>
      <w:r w:rsidRPr="004A6534">
        <w:t xml:space="preserve"> z </w:t>
      </w:r>
      <w:proofErr w:type="spellStart"/>
      <w:r w:rsidRPr="004A6534">
        <w:t>Fidelity</w:t>
      </w:r>
      <w:proofErr w:type="spellEnd"/>
      <w:r w:rsidRPr="004A6534">
        <w:t xml:space="preserve"> International vysvětluje, jak může disciplinovaný hodnotový přístup pomoci v tomto prostředí obstát, aniž by investoři podléhali obchodům, kterých je příliš, a přemrštěným valuacím.</w:t>
      </w:r>
    </w:p>
    <w:p w14:paraId="46E9444F" w14:textId="77777777" w:rsidR="004A6534" w:rsidRPr="005E04B7" w:rsidRDefault="004A6534" w:rsidP="004A6534">
      <w:pPr>
        <w:rPr>
          <w:b/>
          <w:bCs/>
        </w:rPr>
      </w:pPr>
      <w:r w:rsidRPr="005E04B7">
        <w:rPr>
          <w:b/>
          <w:bCs/>
        </w:rPr>
        <w:t>Klíčové body</w:t>
      </w:r>
    </w:p>
    <w:p w14:paraId="7DEE7698" w14:textId="77777777" w:rsidR="004A6534" w:rsidRPr="005E04B7" w:rsidRDefault="004A6534">
      <w:pPr>
        <w:numPr>
          <w:ilvl w:val="0"/>
          <w:numId w:val="23"/>
        </w:numPr>
        <w:spacing w:before="0" w:after="160" w:line="278" w:lineRule="auto"/>
        <w:jc w:val="left"/>
      </w:pPr>
      <w:r w:rsidRPr="005E04B7">
        <w:t xml:space="preserve">Reakce trhu na konflikt na Blízkém východě byla vzhledem k výraznému růstu nákladů na energie překvapivě utlumená. Některé části trhu přitom </w:t>
      </w:r>
      <w:r>
        <w:t xml:space="preserve">už odrážení v cenách </w:t>
      </w:r>
      <w:r w:rsidRPr="005E04B7">
        <w:t xml:space="preserve">mimořádně silné a potenciálně neudržitelné scénáře. </w:t>
      </w:r>
    </w:p>
    <w:p w14:paraId="404894A3" w14:textId="77777777" w:rsidR="004A6534" w:rsidRPr="005E04B7" w:rsidRDefault="004A6534">
      <w:pPr>
        <w:numPr>
          <w:ilvl w:val="0"/>
          <w:numId w:val="23"/>
        </w:numPr>
        <w:spacing w:before="0" w:after="160" w:line="278" w:lineRule="auto"/>
        <w:jc w:val="left"/>
      </w:pPr>
      <w:r>
        <w:t>My v</w:t>
      </w:r>
      <w:r w:rsidRPr="005E04B7">
        <w:t xml:space="preserve">idíme vybrané příležitosti mezi opomíjenými asijskými společnostmi </w:t>
      </w:r>
      <w:r>
        <w:t xml:space="preserve">s malou kapitalizací </w:t>
      </w:r>
      <w:r w:rsidRPr="005E04B7">
        <w:t xml:space="preserve">– kvalitními firmami generujícími hotovost, které se obchodují za valuace již odrážející opatrná očekávání. </w:t>
      </w:r>
    </w:p>
    <w:p w14:paraId="3B7B0EF3" w14:textId="77777777" w:rsidR="004A6534" w:rsidRPr="005E04B7" w:rsidRDefault="004A6534">
      <w:pPr>
        <w:numPr>
          <w:ilvl w:val="0"/>
          <w:numId w:val="23"/>
        </w:numPr>
        <w:spacing w:before="0" w:after="160" w:line="278" w:lineRule="auto"/>
        <w:jc w:val="left"/>
      </w:pPr>
      <w:r w:rsidRPr="005E04B7">
        <w:t xml:space="preserve">Konzistentní zaměření na kvalitní podniky, schopný management a atraktivní valuace zůstává nejspolehlivějším způsobem, jak se vypořádat s nejistotou a vyhnout se rizikům spojeným s tržními extrémy. </w:t>
      </w:r>
    </w:p>
    <w:p w14:paraId="7AF96308" w14:textId="77777777" w:rsidR="004A6534" w:rsidRPr="005E04B7" w:rsidRDefault="004A6534" w:rsidP="004A6534">
      <w:r w:rsidRPr="005E04B7">
        <w:t>Akciové trhy zůstaly relativně klidné navzdory výraznému nárůstu geopolitického napětí a prudkému růstu cen energií po eskalaci konfliktu v Íránu. Vzhledem k rozsahu tohoto šoku byla reakce trhů překvapivě mírná.</w:t>
      </w:r>
    </w:p>
    <w:p w14:paraId="4C59132E" w14:textId="77777777" w:rsidR="004A6534" w:rsidRPr="005E04B7" w:rsidRDefault="004A6534" w:rsidP="004A6534">
      <w:r w:rsidRPr="005E04B7">
        <w:t>Efektivní náklady na energie již pro mnoho firem</w:t>
      </w:r>
      <w:r>
        <w:t xml:space="preserve"> stouply</w:t>
      </w:r>
      <w:r w:rsidRPr="005E04B7">
        <w:t>, zejména v ekonomikách Asie závislých na dovozu. To se začíná promítat do marží a následně i do spotřebitelské poptávky. Pokud tento stav přetrvá, dopad bude pravděpodobně významný.</w:t>
      </w:r>
    </w:p>
    <w:p w14:paraId="1041AD7F" w14:textId="77777777" w:rsidR="004A6534" w:rsidRPr="005E04B7" w:rsidRDefault="004A6534" w:rsidP="004A6534">
      <w:r w:rsidRPr="005E04B7">
        <w:t xml:space="preserve">Pozoruhodné je, že trhy zatím pokračují téměř beze změny. Výkonnost globálních akciových trhů je tažena relativně úzkou skupinou titulů, především v oblastech spojených s technologiemi a umělou inteligencí. To vytvořilo rozdíl mezi výkonností hlavních indexů a širším investičním </w:t>
      </w:r>
      <w:r>
        <w:t>prostorem</w:t>
      </w:r>
      <w:r w:rsidRPr="005E04B7">
        <w:t>.</w:t>
      </w:r>
    </w:p>
    <w:p w14:paraId="42A99630" w14:textId="77777777" w:rsidR="004A6534" w:rsidRPr="005E04B7" w:rsidRDefault="004A6534" w:rsidP="004A6534">
      <w:r w:rsidRPr="005E04B7">
        <w:t>V tomto prostředí se rozevřely rozdíly ve valuacích. Některé části trhu se obchodují na základě velmi vysokých očekávání, zatímco jiné zůstávají opomíjené navzdory stabilním fundamentům. Právě tato divergence vytváří příležitosti pro disciplinovaný přístup založený na valuaci.</w:t>
      </w:r>
    </w:p>
    <w:p w14:paraId="7EF379FD" w14:textId="77777777" w:rsidR="004A6534" w:rsidRPr="005E04B7" w:rsidRDefault="004A6534" w:rsidP="004A6534">
      <w:pPr>
        <w:rPr>
          <w:b/>
          <w:bCs/>
        </w:rPr>
      </w:pPr>
      <w:r w:rsidRPr="005E04B7">
        <w:rPr>
          <w:b/>
          <w:bCs/>
        </w:rPr>
        <w:t>Vyhýbání se extrémům</w:t>
      </w:r>
    </w:p>
    <w:p w14:paraId="5D9BD4D9" w14:textId="77777777" w:rsidR="004A6534" w:rsidRPr="005E04B7" w:rsidRDefault="004A6534" w:rsidP="004A6534">
      <w:r w:rsidRPr="005E04B7">
        <w:t>Umělá inteligence je bezpochyby významným vývojem</w:t>
      </w:r>
      <w:r>
        <w:t xml:space="preserve"> technologií</w:t>
      </w:r>
      <w:r w:rsidRPr="005E04B7">
        <w:t xml:space="preserve"> a postupně se pravděpodobně rozšíří napříč odvětvími. Trh se však v současnosti soustředí pouze na úzkou část tohoto ekosystému. To je patrné zejména v segmentu polovodičů a paměťových čipů na trzích, jako jsou </w:t>
      </w:r>
      <w:r>
        <w:t>Jižní</w:t>
      </w:r>
      <w:r w:rsidRPr="005E04B7">
        <w:t xml:space="preserve"> Korea a Taiwan, kde objem generovaných zisků výrazně překročil historické normy.</w:t>
      </w:r>
    </w:p>
    <w:p w14:paraId="3E415F13" w14:textId="77777777" w:rsidR="004A6534" w:rsidRPr="005E04B7" w:rsidRDefault="004A6534" w:rsidP="004A6534">
      <w:r w:rsidRPr="005E04B7">
        <w:lastRenderedPageBreak/>
        <w:t>V několika případech se ziskovost dostala na úrovně výrazně převyšující cokoli, co bylo v minulosti běžné, a očekává se, že některé společnosti v jediném roce vytvoří vyšší zisk, než jaké měly tržby v minulých letech. To naznačuje období mimořádně silné poptávky, nikoli stabilní dlouhodobou úroveň profitability.</w:t>
      </w:r>
    </w:p>
    <w:p w14:paraId="6CE9385D" w14:textId="77777777" w:rsidR="004A6534" w:rsidRPr="005E04B7" w:rsidRDefault="004A6534" w:rsidP="004A6534">
      <w:r w:rsidRPr="005E04B7">
        <w:t>Když se do extrémů dostanou jak zisky, tak očekávání, je obtížnější určit, jaká úroveň ziskovosti je „normální“, což zvyšuje riziko nesprávného ocenění. Cílem proto není tomuto tématu se vyhýbat, ale vyhýbat se těm částem trhu, kde jsou výsledky i očekávání již podle historických zkušeností př</w:t>
      </w:r>
      <w:r>
        <w:t xml:space="preserve">íliš </w:t>
      </w:r>
      <w:r w:rsidRPr="005E04B7">
        <w:t>napjaté.</w:t>
      </w:r>
    </w:p>
    <w:p w14:paraId="4A24272B" w14:textId="77777777" w:rsidR="004A6534" w:rsidRPr="005E04B7" w:rsidRDefault="004A6534" w:rsidP="004A6534">
      <w:pPr>
        <w:rPr>
          <w:b/>
          <w:bCs/>
        </w:rPr>
      </w:pPr>
      <w:r w:rsidRPr="005E04B7">
        <w:rPr>
          <w:b/>
          <w:bCs/>
        </w:rPr>
        <w:t>Hledání hodnoty na opomíjených trzích</w:t>
      </w:r>
    </w:p>
    <w:p w14:paraId="67FF7F4D" w14:textId="77777777" w:rsidR="004A6534" w:rsidRPr="005E04B7" w:rsidRDefault="004A6534" w:rsidP="004A6534">
      <w:r w:rsidRPr="005E04B7">
        <w:t>Přednost dáváme hledání příležitostí v segmentech trhu, kde jsou očekávání nízká a pozornost investorů omezená. Současná fascinace AI například vytváří nesprávné ocenění v oblastech, které s AI nesouvisejí nebo jsou vnímány jako „poražení“ AI trendu.</w:t>
      </w:r>
    </w:p>
    <w:p w14:paraId="4FC38F47" w14:textId="77777777" w:rsidR="004A6534" w:rsidRPr="005E04B7" w:rsidRDefault="004A6534" w:rsidP="004A6534">
      <w:r w:rsidRPr="005E04B7">
        <w:t>Konzistentní investiční disciplína a důraz na bezpečnostní polštář nás nadále vedou ke společnostem se siln</w:t>
      </w:r>
      <w:r>
        <w:t>ě generují</w:t>
      </w:r>
      <w:r w:rsidRPr="005E04B7">
        <w:t xml:space="preserve"> hotovost a </w:t>
      </w:r>
      <w:r>
        <w:t xml:space="preserve">mají </w:t>
      </w:r>
      <w:r w:rsidRPr="005E04B7">
        <w:t>etablovanou pozicí na trhu, které se obchodují za valuace již odrážející opatrn</w:t>
      </w:r>
      <w:r>
        <w:t>á očekávání</w:t>
      </w:r>
      <w:r w:rsidRPr="005E04B7">
        <w:t>.</w:t>
      </w:r>
    </w:p>
    <w:p w14:paraId="1C5C7C9F" w14:textId="77777777" w:rsidR="004A6534" w:rsidRPr="005E04B7" w:rsidRDefault="004A6534" w:rsidP="004A6534">
      <w:proofErr w:type="spellStart"/>
      <w:r w:rsidRPr="005E04B7">
        <w:t>Indofood</w:t>
      </w:r>
      <w:proofErr w:type="spellEnd"/>
      <w:r w:rsidRPr="005E04B7">
        <w:t xml:space="preserve"> </w:t>
      </w:r>
      <w:proofErr w:type="spellStart"/>
      <w:r w:rsidRPr="005E04B7">
        <w:t>Sukses</w:t>
      </w:r>
      <w:proofErr w:type="spellEnd"/>
      <w:r w:rsidRPr="005E04B7">
        <w:t xml:space="preserve"> </w:t>
      </w:r>
      <w:proofErr w:type="spellStart"/>
      <w:r w:rsidRPr="005E04B7">
        <w:t>Makmur</w:t>
      </w:r>
      <w:proofErr w:type="spellEnd"/>
      <w:r w:rsidRPr="005E04B7">
        <w:t xml:space="preserve"> je jedním z příkladů. Tato indonéská společnost dlouhodobě zvyšuje zisky a drží dominantní postavení na několika trzích, přesto se nyní obchoduje za relativně nízkou valuaci, protože sentiment vůči širší ekonomice oslabil.</w:t>
      </w:r>
    </w:p>
    <w:p w14:paraId="2325B3D5" w14:textId="77777777" w:rsidR="004A6534" w:rsidRPr="005E04B7" w:rsidRDefault="004A6534" w:rsidP="004A6534">
      <w:r w:rsidRPr="005E04B7">
        <w:t xml:space="preserve">Podobnou dynamiku lze pozorovat také u společnosti </w:t>
      </w:r>
      <w:proofErr w:type="spellStart"/>
      <w:r w:rsidRPr="005E04B7">
        <w:t>Arwana</w:t>
      </w:r>
      <w:proofErr w:type="spellEnd"/>
      <w:r w:rsidRPr="005E04B7">
        <w:t xml:space="preserve"> </w:t>
      </w:r>
      <w:proofErr w:type="spellStart"/>
      <w:r w:rsidRPr="005E04B7">
        <w:t>Citramulia</w:t>
      </w:r>
      <w:proofErr w:type="spellEnd"/>
      <w:r w:rsidRPr="005E04B7">
        <w:t>, domácího výrobce stavebních materiálů z Indonésie navázaného na poptávku po bydlení. Základní aktivita zůstává stabilní, ale valuace klesly spolu s širším trhem.</w:t>
      </w:r>
    </w:p>
    <w:p w14:paraId="7870C492" w14:textId="77777777" w:rsidR="004A6534" w:rsidRPr="005E04B7" w:rsidRDefault="004A6534" w:rsidP="004A6534">
      <w:r>
        <w:t>Z</w:t>
      </w:r>
      <w:r w:rsidRPr="005E04B7">
        <w:t>ákladní princip</w:t>
      </w:r>
      <w:r>
        <w:t xml:space="preserve"> zůstává</w:t>
      </w:r>
      <w:r w:rsidRPr="005E04B7">
        <w:t xml:space="preserve"> stejný. Zaměřujeme se na firmy, které generují hotovost, jsou řízeny schopným a důvěryhodným managementem a lze je nakoupit za ceny poskytující dostatečný bezpečnostní polštář. To, na co se trh krátkodobě soustředí, je často méně důležité než právě tyto fundamenty.</w:t>
      </w:r>
    </w:p>
    <w:p w14:paraId="19321F36" w14:textId="77777777" w:rsidR="004A6534" w:rsidRPr="005E04B7" w:rsidRDefault="004A6534" w:rsidP="004A6534">
      <w:pPr>
        <w:rPr>
          <w:b/>
          <w:bCs/>
        </w:rPr>
      </w:pPr>
      <w:r w:rsidRPr="005E04B7">
        <w:rPr>
          <w:b/>
          <w:bCs/>
        </w:rPr>
        <w:t>Disciplína je v dnešním trhu zásadní</w:t>
      </w:r>
    </w:p>
    <w:p w14:paraId="32E40BFF" w14:textId="77777777" w:rsidR="004A6534" w:rsidRPr="005E04B7" w:rsidRDefault="004A6534" w:rsidP="004A6534">
      <w:r w:rsidRPr="005E04B7">
        <w:t>Současné prostředí pravděpodobně zůstane nejisté. Geopolitický vývoj, energetické trhy i reakce hospodářských politik budou nadále ovlivňovat sentiment a směřování trhů. Zároveň úzké tržní vedení zvyšuje riziko volatility, pokud se očekávání změní.</w:t>
      </w:r>
    </w:p>
    <w:p w14:paraId="71AD0402" w14:textId="77777777" w:rsidR="004A6534" w:rsidRPr="005E04B7" w:rsidRDefault="004A6534" w:rsidP="004A6534">
      <w:r w:rsidRPr="005E04B7">
        <w:t>Přesto zůstává dlouhodobý investiční potenciál pro hodnotově orientované investory v Asii atraktivní. Mnoho společností se obchoduje za valuace, které již odrážejí opatrn</w:t>
      </w:r>
      <w:r>
        <w:t>á očekávání</w:t>
      </w:r>
      <w:r w:rsidRPr="005E04B7">
        <w:t>, a to i v případech, kdy kvalita podnikání zůstává zachována. V tomto kontextu jsou obzvláště zajímavé společnosti</w:t>
      </w:r>
      <w:r>
        <w:t xml:space="preserve"> s malou a střední kapitalizací</w:t>
      </w:r>
      <w:r w:rsidRPr="005E04B7">
        <w:t>. Jsou méně sledované analytiky a častěji dochází k jejich nesprávnému ocenění, což vytváří příležitosti pro investory ochotné uvažovat v delším horizontu.</w:t>
      </w:r>
    </w:p>
    <w:p w14:paraId="157FC0C8" w14:textId="77777777" w:rsidR="004A6534" w:rsidRPr="005E04B7" w:rsidRDefault="004A6534" w:rsidP="004A6534">
      <w:r w:rsidRPr="005E04B7">
        <w:t>V tomto prostředí náš přístup nespoléhá na předvídání vývoje trhů. Naopak – stále důležitější je zachování disciplíny, protože právě konzistence je z dlouhodobého pohledu klíčem k investičním výnosům.</w:t>
      </w:r>
    </w:p>
    <w:p w14:paraId="61137C77" w14:textId="77777777" w:rsidR="004A6534" w:rsidRPr="005E04B7" w:rsidRDefault="004A6534" w:rsidP="004A6534">
      <w:pPr>
        <w:rPr>
          <w:vanish/>
        </w:rPr>
      </w:pPr>
      <w:r w:rsidRPr="005E04B7">
        <w:rPr>
          <w:vanish/>
        </w:rPr>
        <w:t>Začátek formuláře</w:t>
      </w:r>
    </w:p>
    <w:p w14:paraId="439AC9D5" w14:textId="77777777" w:rsidR="004A6534" w:rsidRPr="005E04B7" w:rsidRDefault="004A6534" w:rsidP="004A6534"/>
    <w:p w14:paraId="243DB9BC" w14:textId="77777777" w:rsidR="004A6534" w:rsidRPr="005E04B7" w:rsidRDefault="004A6534" w:rsidP="004A6534">
      <w:pPr>
        <w:rPr>
          <w:vanish/>
        </w:rPr>
      </w:pPr>
      <w:r w:rsidRPr="005E04B7">
        <w:rPr>
          <w:vanish/>
        </w:rPr>
        <w:lastRenderedPageBreak/>
        <w:t>Konec formuláře</w:t>
      </w:r>
    </w:p>
    <w:p w14:paraId="6F0B3477" w14:textId="77777777" w:rsidR="004A6534" w:rsidRDefault="004A6534" w:rsidP="004A6534"/>
    <w:p w14:paraId="3B1B363B" w14:textId="77777777" w:rsidR="00816F60" w:rsidRPr="00816F60" w:rsidRDefault="00816F60" w:rsidP="00816F60">
      <w:pPr>
        <w:pStyle w:val="F2-zkladn"/>
      </w:pPr>
    </w:p>
    <w:p w14:paraId="12382C2E" w14:textId="77777777" w:rsidR="00C9576C" w:rsidRDefault="00C9576C" w:rsidP="00C9576C">
      <w:pPr>
        <w:spacing w:before="0" w:line="240" w:lineRule="atLeast"/>
        <w:rPr>
          <w:b/>
        </w:rPr>
      </w:pPr>
      <w:r w:rsidRPr="00455A3C">
        <w:rPr>
          <w:b/>
        </w:rPr>
        <w:t>Pro více informací kontaktujte:</w:t>
      </w:r>
    </w:p>
    <w:p w14:paraId="10039E01" w14:textId="77777777" w:rsidR="00C9576C" w:rsidRDefault="00C9576C" w:rsidP="00C9576C">
      <w:pPr>
        <w:spacing w:before="0" w:line="240" w:lineRule="atLeast"/>
        <w:rPr>
          <w:b/>
        </w:rPr>
      </w:pPr>
      <w:r>
        <w:rPr>
          <w:b/>
        </w:rPr>
        <w:t>Eliška Krohová</w:t>
      </w:r>
    </w:p>
    <w:p w14:paraId="75D1562A" w14:textId="77777777" w:rsidR="00C9576C" w:rsidRPr="00455A3C" w:rsidRDefault="00C9576C" w:rsidP="00C9576C">
      <w:pPr>
        <w:spacing w:before="0" w:line="240" w:lineRule="atLeast"/>
        <w:rPr>
          <w:b/>
          <w:bCs/>
        </w:rPr>
      </w:pPr>
      <w:r w:rsidRPr="00455A3C">
        <w:rPr>
          <w:b/>
          <w:bCs/>
        </w:rPr>
        <w:t>Crest Communications, a.s.</w:t>
      </w:r>
    </w:p>
    <w:p w14:paraId="7AE3863C" w14:textId="77777777" w:rsidR="00C9576C" w:rsidRPr="00455A3C" w:rsidRDefault="00C9576C" w:rsidP="00C9576C">
      <w:pPr>
        <w:spacing w:before="0" w:line="240" w:lineRule="atLeast"/>
      </w:pPr>
    </w:p>
    <w:p w14:paraId="05A1AB1B" w14:textId="77777777" w:rsidR="00C9576C" w:rsidRPr="00455A3C" w:rsidRDefault="00C9576C" w:rsidP="00C9576C">
      <w:pPr>
        <w:spacing w:before="0" w:line="240" w:lineRule="atLeast"/>
      </w:pPr>
      <w:r w:rsidRPr="00455A3C">
        <w:t>Ostrovní 126/30</w:t>
      </w:r>
    </w:p>
    <w:p w14:paraId="262DCF4D" w14:textId="77777777" w:rsidR="00C9576C" w:rsidRPr="00455A3C" w:rsidRDefault="00C9576C" w:rsidP="00C9576C">
      <w:pPr>
        <w:spacing w:before="0" w:line="240" w:lineRule="atLeast"/>
      </w:pPr>
      <w:r w:rsidRPr="00455A3C">
        <w:t>110 00 Praha 1</w:t>
      </w:r>
    </w:p>
    <w:p w14:paraId="4676820E" w14:textId="77777777" w:rsidR="00C9576C" w:rsidRPr="00455A3C" w:rsidRDefault="00C9576C" w:rsidP="00C9576C">
      <w:pPr>
        <w:spacing w:before="0" w:line="240" w:lineRule="atLeast"/>
      </w:pPr>
      <w:proofErr w:type="spellStart"/>
      <w:r>
        <w:t>gsm</w:t>
      </w:r>
      <w:proofErr w:type="spellEnd"/>
      <w:r>
        <w:t>: + 420 720 406 659</w:t>
      </w:r>
    </w:p>
    <w:p w14:paraId="4B683F0F" w14:textId="77777777" w:rsidR="00C9576C" w:rsidRDefault="00C9576C" w:rsidP="00C9576C">
      <w:pPr>
        <w:spacing w:before="0" w:line="240" w:lineRule="atLeast"/>
        <w:rPr>
          <w:rStyle w:val="Hypertextovodkaz"/>
        </w:rPr>
      </w:pPr>
      <w:r w:rsidRPr="00455A3C">
        <w:rPr>
          <w:color w:val="000000"/>
        </w:rPr>
        <w:t xml:space="preserve">e-mail: </w:t>
      </w:r>
      <w:hyperlink r:id="rId11" w:history="1">
        <w:r w:rsidRPr="00E23FD4">
          <w:rPr>
            <w:rStyle w:val="Hypertextovodkaz"/>
          </w:rPr>
          <w:t>eliska.krohova@crestcom.cz</w:t>
        </w:r>
      </w:hyperlink>
    </w:p>
    <w:p w14:paraId="7947F278" w14:textId="77777777" w:rsidR="00C9576C" w:rsidRDefault="00C9576C" w:rsidP="00C9576C">
      <w:pPr>
        <w:shd w:val="clear" w:color="auto" w:fill="FFFFFF"/>
        <w:spacing w:before="0" w:line="360" w:lineRule="atLeast"/>
        <w:rPr>
          <w:b/>
          <w:bCs/>
        </w:rPr>
      </w:pPr>
    </w:p>
    <w:p w14:paraId="582DE57F" w14:textId="77777777" w:rsidR="00C9576C" w:rsidRPr="00D404D5" w:rsidRDefault="00C9576C" w:rsidP="00C9576C">
      <w:pPr>
        <w:shd w:val="clear" w:color="auto" w:fill="FFFFFF"/>
        <w:spacing w:before="0" w:line="360" w:lineRule="atLeast"/>
        <w:rPr>
          <w:b/>
          <w:bCs/>
        </w:rPr>
      </w:pPr>
      <w:r w:rsidRPr="00D404D5">
        <w:rPr>
          <w:b/>
          <w:bCs/>
        </w:rPr>
        <w:t>Informace pro editory:</w:t>
      </w:r>
    </w:p>
    <w:p w14:paraId="73CA155F" w14:textId="77777777" w:rsidR="00C9576C" w:rsidRPr="00AF76C6" w:rsidRDefault="00C9576C" w:rsidP="00C9576C">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2AA2CE5B" w14:textId="77777777" w:rsidR="00C9576C" w:rsidRPr="00424771" w:rsidRDefault="00C9576C" w:rsidP="00C9576C">
      <w:pPr>
        <w:pStyle w:val="F2-zkladn"/>
        <w:rPr>
          <w:b/>
          <w:bCs/>
        </w:rPr>
      </w:pPr>
      <w:r w:rsidRPr="00424771">
        <w:rPr>
          <w:b/>
          <w:bCs/>
        </w:rPr>
        <w:t>Důležité upozornění</w:t>
      </w:r>
    </w:p>
    <w:p w14:paraId="42D341D0" w14:textId="77777777" w:rsidR="00C9576C" w:rsidRDefault="00C9576C" w:rsidP="00C9576C">
      <w:pPr>
        <w:pStyle w:val="F2-zkladn"/>
      </w:pPr>
      <w:r>
        <w:t>Toto je propagační materiál. Tento dokument nesmí být bez předchozího souhlasu rozmnožován nebo rozšiřován.</w:t>
      </w:r>
    </w:p>
    <w:p w14:paraId="3D90B0B7" w14:textId="77777777" w:rsidR="00C9576C" w:rsidRDefault="00C9576C" w:rsidP="00C9576C">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72D82263" w14:textId="77777777" w:rsidR="00C9576C" w:rsidRDefault="00C9576C" w:rsidP="00C9576C">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68AC1BDC" w14:textId="77777777" w:rsidR="00C9576C" w:rsidRDefault="00C9576C" w:rsidP="00C9576C">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2DB5B657" w14:textId="77777777" w:rsidR="00C9576C" w:rsidRDefault="00C9576C" w:rsidP="00C9576C">
      <w:pPr>
        <w:pStyle w:val="F2-zkladn"/>
      </w:pPr>
      <w:r>
        <w:lastRenderedPageBreak/>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2F210544" w14:textId="77777777" w:rsidR="00C9576C" w:rsidRDefault="00C9576C" w:rsidP="00C9576C">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20D3DD7E" w14:textId="77777777" w:rsidR="00C9576C" w:rsidRDefault="00C9576C" w:rsidP="00C9576C">
      <w:pPr>
        <w:pStyle w:val="F2-zkladn"/>
      </w:pPr>
      <w:r>
        <w:t>Minulá výkonnost není spolehlivým ukazatelem budoucích výsledků.</w:t>
      </w:r>
    </w:p>
    <w:p w14:paraId="7AE4F1CD" w14:textId="77777777" w:rsidR="00C9576C" w:rsidRDefault="00C9576C" w:rsidP="00C9576C">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C1D4D2B" w14:textId="77777777" w:rsidR="00C9576C" w:rsidRDefault="00C9576C" w:rsidP="00C9576C">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B2642A9" w14:textId="77777777" w:rsidR="00C9576C" w:rsidRDefault="00C9576C" w:rsidP="00C9576C">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4A012BD4" w14:textId="358E8BCF" w:rsidR="00C9576C" w:rsidRPr="00B44B12" w:rsidRDefault="00C9576C" w:rsidP="00B44B12">
      <w:pPr>
        <w:pStyle w:val="F2-zkladn"/>
      </w:pPr>
      <w:r>
        <w:t>Investoři a potenciální investoři mohou získat informace o svých právech ve spojení se stížnostmi a soudními spory na tomto odkazu: https://www.fidelity.cz (v češtině).</w:t>
      </w:r>
    </w:p>
    <w:p w14:paraId="032496E3" w14:textId="4329AA96" w:rsidR="00D20058" w:rsidRDefault="004A6534" w:rsidP="004A6534">
      <w:r w:rsidRPr="004A6534">
        <w:rPr>
          <w:lang w:val="de-AT"/>
        </w:rPr>
        <w:t>MKAT13826</w:t>
      </w:r>
    </w:p>
    <w:sectPr w:rsidR="00D20058" w:rsidSect="00F50497">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98FC" w14:textId="77777777" w:rsidR="00225618" w:rsidRDefault="00225618">
      <w:r>
        <w:separator/>
      </w:r>
    </w:p>
  </w:endnote>
  <w:endnote w:type="continuationSeparator" w:id="0">
    <w:p w14:paraId="0EBCD7E7" w14:textId="77777777" w:rsidR="00225618" w:rsidRDefault="0022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41F1" w14:textId="77777777" w:rsidR="00225618" w:rsidRDefault="00225618">
      <w:r>
        <w:separator/>
      </w:r>
    </w:p>
  </w:footnote>
  <w:footnote w:type="continuationSeparator" w:id="0">
    <w:p w14:paraId="37AC4019" w14:textId="77777777" w:rsidR="00225618" w:rsidRDefault="00225618">
      <w:r>
        <w:continuationSeparator/>
      </w:r>
    </w:p>
  </w:footnote>
  <w:footnote w:type="continuationNotice" w:id="1">
    <w:p w14:paraId="068AFB54" w14:textId="77777777" w:rsidR="00225618" w:rsidRDefault="00225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3"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4" w15:restartNumberingAfterBreak="0">
    <w:nsid w:val="24DB0E30"/>
    <w:multiLevelType w:val="multilevel"/>
    <w:tmpl w:val="0AD0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07484830">
    <w:abstractNumId w:val="13"/>
  </w:num>
  <w:num w:numId="2" w16cid:durableId="1895313556">
    <w:abstractNumId w:val="20"/>
  </w:num>
  <w:num w:numId="3" w16cid:durableId="1213884590">
    <w:abstractNumId w:val="22"/>
  </w:num>
  <w:num w:numId="4" w16cid:durableId="249312893">
    <w:abstractNumId w:val="16"/>
  </w:num>
  <w:num w:numId="5" w16cid:durableId="315694586">
    <w:abstractNumId w:val="17"/>
  </w:num>
  <w:num w:numId="6" w16cid:durableId="108403674">
    <w:abstractNumId w:val="15"/>
  </w:num>
  <w:num w:numId="7" w16cid:durableId="604575006">
    <w:abstractNumId w:val="21"/>
  </w:num>
  <w:num w:numId="8" w16cid:durableId="2105804766">
    <w:abstractNumId w:val="18"/>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0"/>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2"/>
  </w:num>
  <w:num w:numId="21" w16cid:durableId="1864786788">
    <w:abstractNumId w:val="19"/>
  </w:num>
  <w:num w:numId="22" w16cid:durableId="907761201">
    <w:abstractNumId w:val="11"/>
  </w:num>
  <w:num w:numId="23" w16cid:durableId="20888596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2078"/>
    <w:rsid w:val="00013232"/>
    <w:rsid w:val="00016492"/>
    <w:rsid w:val="00017E0A"/>
    <w:rsid w:val="00020F03"/>
    <w:rsid w:val="00021D97"/>
    <w:rsid w:val="0002277D"/>
    <w:rsid w:val="000237A9"/>
    <w:rsid w:val="00026B23"/>
    <w:rsid w:val="00026F85"/>
    <w:rsid w:val="000315EE"/>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E6F65"/>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18"/>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11C7"/>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2026"/>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761EF"/>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1F9F"/>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089A"/>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A6534"/>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5DA3"/>
    <w:rsid w:val="004D66DB"/>
    <w:rsid w:val="004D79D4"/>
    <w:rsid w:val="004E0978"/>
    <w:rsid w:val="004E14D9"/>
    <w:rsid w:val="004E1CB1"/>
    <w:rsid w:val="004E2D7E"/>
    <w:rsid w:val="004E4B6A"/>
    <w:rsid w:val="004E4ED5"/>
    <w:rsid w:val="004E6300"/>
    <w:rsid w:val="004F16B6"/>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16F60"/>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00"/>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4B12"/>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576C"/>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764"/>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9021</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10528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2</cp:revision>
  <cp:lastPrinted>2015-11-30T16:29:00Z</cp:lastPrinted>
  <dcterms:created xsi:type="dcterms:W3CDTF">2026-05-21T12:42:00Z</dcterms:created>
  <dcterms:modified xsi:type="dcterms:W3CDTF">2026-05-21T12:42:00Z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